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360" w:lineRule="auto"/>
        <w:jc w:val="center"/>
        <w:rPr>
          <w:rFonts w:ascii="仿宋" w:eastAsia="仿宋"/>
          <w:b/>
          <w:bCs/>
          <w:sz w:val="32"/>
          <w:szCs w:val="32"/>
        </w:rPr>
      </w:pPr>
      <w:r>
        <w:rPr>
          <w:rFonts w:ascii="仿宋" w:eastAsia="仿宋" w:hint="eastAsia"/>
          <w:b/>
          <w:bCs/>
          <w:sz w:val="32"/>
          <w:szCs w:val="32"/>
        </w:rPr>
        <w:t xml:space="preserve">第二章 </w:t>
      </w:r>
      <w:r>
        <w:rPr>
          <w:rFonts w:ascii="仿宋" w:eastAsia="仿宋" w:hint="eastAsia"/>
          <w:b/>
          <w:bCs/>
          <w:sz w:val="32"/>
          <w:szCs w:val="32"/>
          <w:lang w:eastAsia="zh-CN"/>
        </w:rPr>
        <w:t>询价</w:t>
      </w:r>
      <w:r>
        <w:rPr>
          <w:rFonts w:ascii="仿宋" w:eastAsia="仿宋" w:hint="eastAsia"/>
          <w:b/>
          <w:bCs/>
          <w:sz w:val="32"/>
          <w:szCs w:val="32"/>
        </w:rPr>
        <w:t>须知</w:t>
      </w:r>
    </w:p>
    <w:p>
      <w:pPr>
        <w:spacing w:line="360" w:lineRule="auto"/>
        <w:rPr>
          <w:rFonts w:ascii="仿宋" w:eastAsia="仿宋"/>
        </w:rPr>
      </w:pPr>
    </w:p>
    <w:tbl>
      <w:tblPr>
        <w:jc w:val="left"/>
        <w:tblInd w:w="-422" w:type="dxa"/>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3"/>
        <w:gridCol w:w="8403"/>
        <w:gridCol w:w="876"/>
      </w:tblGrid>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序号</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内容规定</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备注</w:t>
            </w: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1</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项目名称：安岳县人民医院</w:t>
            </w:r>
            <w:r>
              <w:rPr>
                <w:rFonts w:ascii="仿宋" w:eastAsia="仿宋" w:hint="eastAsia"/>
                <w:sz w:val="30"/>
                <w:szCs w:val="30"/>
                <w:lang w:val="en-US" w:eastAsia="zh-CN"/>
              </w:rPr>
              <w:t>2026年度</w:t>
            </w:r>
            <w:r>
              <w:rPr>
                <w:rFonts w:ascii="仿宋" w:eastAsia="仿宋" w:hint="eastAsia"/>
                <w:sz w:val="30"/>
                <w:szCs w:val="30"/>
                <w:lang w:eastAsia="zh-CN"/>
              </w:rPr>
              <w:t>个人剂量仪检测服务采购项目</w:t>
            </w:r>
          </w:p>
          <w:p>
            <w:pPr>
              <w:spacing w:line="360" w:lineRule="auto"/>
              <w:rPr>
                <w:rFonts w:ascii="仿宋" w:eastAsia="仿宋"/>
                <w:sz w:val="30"/>
                <w:szCs w:val="30"/>
              </w:rPr>
            </w:pPr>
            <w:r>
              <w:rPr>
                <w:rFonts w:ascii="仿宋" w:eastAsia="仿宋" w:hint="eastAsia"/>
                <w:sz w:val="30"/>
                <w:szCs w:val="30"/>
              </w:rPr>
              <w:t>项目最高控制价：人民币</w:t>
            </w:r>
            <w:r>
              <w:rPr>
                <w:rFonts w:ascii="仿宋" w:eastAsia="仿宋" w:hint="eastAsia"/>
                <w:sz w:val="30"/>
                <w:szCs w:val="30"/>
                <w:lang w:eastAsia="zh-CN"/>
              </w:rPr>
              <w:t>柒</w:t>
            </w:r>
            <w:r>
              <w:rPr>
                <w:rFonts w:ascii="仿宋" w:eastAsia="仿宋" w:hint="eastAsia"/>
                <w:sz w:val="30"/>
                <w:szCs w:val="30"/>
              </w:rPr>
              <w:t>万</w:t>
            </w:r>
            <w:r>
              <w:rPr>
                <w:rFonts w:ascii="仿宋" w:eastAsia="仿宋" w:hint="eastAsia"/>
                <w:sz w:val="30"/>
                <w:szCs w:val="30"/>
                <w:lang w:eastAsia="zh-CN"/>
              </w:rPr>
              <w:t>贰仟柒佰</w:t>
            </w:r>
            <w:r>
              <w:rPr>
                <w:rFonts w:ascii="仿宋" w:eastAsia="仿宋" w:hint="eastAsia"/>
                <w:sz w:val="30"/>
                <w:szCs w:val="30"/>
              </w:rPr>
              <w:t>元整（小写：</w:t>
            </w:r>
            <w:r>
              <w:rPr>
                <w:rFonts w:ascii="仿宋" w:eastAsia="仿宋" w:hint="eastAsia"/>
                <w:sz w:val="30"/>
                <w:szCs w:val="30"/>
                <w:lang w:val="en-US" w:eastAsia="zh-CN"/>
              </w:rPr>
              <w:t>72700</w:t>
            </w:r>
            <w:r>
              <w:rPr>
                <w:rFonts w:ascii="仿宋" w:eastAsia="仿宋" w:hint="eastAsia"/>
                <w:sz w:val="30"/>
                <w:szCs w:val="30"/>
              </w:rPr>
              <w:t>元）</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2</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采购人：安岳县人民医院     地址：见采购公告</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3</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竞标保证金：无</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4</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hint="eastAsia"/>
                <w:sz w:val="30"/>
                <w:szCs w:val="30"/>
                <w:lang w:eastAsia="zh-CN"/>
              </w:rPr>
            </w:pPr>
            <w:r>
              <w:rPr>
                <w:rFonts w:ascii="仿宋" w:eastAsia="仿宋" w:hint="eastAsia"/>
                <w:sz w:val="30"/>
                <w:szCs w:val="30"/>
              </w:rPr>
              <w:t>评审方法：比照最低评标价法</w:t>
            </w:r>
            <w:r>
              <w:rPr>
                <w:rFonts w:ascii="仿宋" w:eastAsia="仿宋" w:hint="eastAsia"/>
                <w:sz w:val="30"/>
                <w:szCs w:val="30"/>
                <w:lang w:eastAsia="zh-CN"/>
              </w:rPr>
              <w:t>，一次性报价</w:t>
            </w:r>
          </w:p>
          <w:p>
            <w:pPr>
              <w:spacing w:line="360" w:lineRule="auto"/>
              <w:rPr>
                <w:rFonts w:ascii="仿宋" w:eastAsia="仿宋"/>
                <w:sz w:val="30"/>
                <w:szCs w:val="30"/>
              </w:rPr>
            </w:pPr>
            <w:r>
              <w:rPr>
                <w:rFonts w:ascii="仿宋" w:eastAsia="仿宋" w:hint="eastAsia"/>
                <w:sz w:val="30"/>
                <w:szCs w:val="30"/>
              </w:rPr>
              <w:t>评审程序及标准：根据采购需求、质量和服务均能满足采购文件实质性响应要求且报价最低的原则顺序推荐成交候选供应商</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5</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有效期：</w:t>
            </w:r>
            <w:r>
              <w:rPr>
                <w:rFonts w:ascii="仿宋" w:eastAsia="仿宋" w:cs="Times New Roman" w:hint="eastAsia"/>
                <w:sz w:val="30"/>
                <w:szCs w:val="30"/>
              </w:rPr>
              <w:t>递交</w:t>
            </w:r>
            <w:r>
              <w:rPr>
                <w:rFonts w:ascii="仿宋" w:eastAsia="仿宋" w:cs="Times New Roman" w:hint="eastAsia"/>
                <w:sz w:val="30"/>
                <w:szCs w:val="30"/>
                <w:lang w:eastAsia="zh-CN"/>
              </w:rPr>
              <w:t>询价</w:t>
            </w:r>
            <w:r>
              <w:rPr>
                <w:rFonts w:ascii="仿宋" w:eastAsia="仿宋" w:cs="Times New Roman" w:hint="eastAsia"/>
                <w:sz w:val="30"/>
                <w:szCs w:val="30"/>
              </w:rPr>
              <w:t>申请书</w:t>
            </w:r>
            <w:r>
              <w:rPr>
                <w:rFonts w:ascii="仿宋" w:eastAsia="仿宋" w:hint="eastAsia"/>
                <w:sz w:val="30"/>
                <w:szCs w:val="30"/>
              </w:rPr>
              <w:t>截止时间后</w:t>
            </w:r>
            <w:r>
              <w:rPr>
                <w:rFonts w:ascii="仿宋" w:eastAsia="仿宋" w:hint="eastAsia"/>
                <w:sz w:val="30"/>
                <w:szCs w:val="30"/>
                <w:lang w:val="en-US" w:eastAsia="zh-CN"/>
              </w:rPr>
              <w:t>90</w:t>
            </w:r>
            <w:r>
              <w:rPr>
                <w:rFonts w:ascii="仿宋" w:eastAsia="仿宋" w:hint="eastAsia"/>
                <w:sz w:val="30"/>
                <w:szCs w:val="30"/>
              </w:rPr>
              <w:t>天</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6</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履约保证金：无</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7</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资格性报价文件：正本一份</w:t>
            </w:r>
          </w:p>
          <w:p>
            <w:pPr>
              <w:spacing w:line="360" w:lineRule="auto"/>
              <w:rPr>
                <w:rFonts w:ascii="仿宋" w:eastAsia="仿宋"/>
                <w:sz w:val="30"/>
                <w:szCs w:val="30"/>
              </w:rPr>
            </w:pPr>
            <w:r>
              <w:rPr>
                <w:rFonts w:ascii="仿宋" w:eastAsia="仿宋" w:hint="eastAsia"/>
                <w:sz w:val="30"/>
                <w:szCs w:val="30"/>
              </w:rPr>
              <w:t>技术、服务性报告文件：正本一份</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8</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其他：供应商对本</w:t>
            </w:r>
            <w:r>
              <w:rPr>
                <w:rFonts w:ascii="仿宋" w:eastAsia="仿宋" w:hint="eastAsia"/>
                <w:sz w:val="30"/>
                <w:szCs w:val="30"/>
                <w:lang w:eastAsia="zh-CN"/>
              </w:rPr>
              <w:t>竞谈</w:t>
            </w:r>
            <w:r>
              <w:rPr>
                <w:rFonts w:ascii="仿宋" w:eastAsia="仿宋" w:hint="eastAsia"/>
                <w:sz w:val="30"/>
                <w:szCs w:val="30"/>
              </w:rPr>
              <w:t>文件有异议的可依法依规进行询问质疑</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r>
        <w:tc>
          <w:tcPr>
            <w:tcW w:w="87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9</w:t>
            </w:r>
          </w:p>
        </w:tc>
        <w:tc>
          <w:tcPr>
            <w:tcW w:w="8403"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r>
              <w:rPr>
                <w:rFonts w:ascii="仿宋" w:eastAsia="仿宋" w:hint="eastAsia"/>
                <w:sz w:val="30"/>
                <w:szCs w:val="30"/>
              </w:rPr>
              <w:t>结果公告：结果将在安岳县人民医院官方网站取以公告</w:t>
            </w:r>
          </w:p>
        </w:tc>
        <w:tc>
          <w:tcPr>
            <w:tcW w:w="876" w:type="dxa"/>
            <w:tcBorders>
              <w:top w:val="single" w:sz="4" w:space="0" w:color="auto"/>
              <w:left w:val="single" w:sz="4" w:space="0" w:color="auto"/>
              <w:bottom w:val="single" w:sz="4" w:space="0" w:color="auto"/>
              <w:right w:val="single" w:sz="4" w:space="0" w:color="auto"/>
            </w:tcBorders>
            <w:noWrap/>
          </w:tcPr>
          <w:p>
            <w:pPr>
              <w:spacing w:line="360" w:lineRule="auto"/>
              <w:rPr>
                <w:rFonts w:ascii="仿宋" w:eastAsia="仿宋"/>
                <w:sz w:val="30"/>
                <w:szCs w:val="30"/>
              </w:rPr>
            </w:pPr>
          </w:p>
        </w:tc>
      </w:tr>
    </w:tbl>
    <w:p>
      <w:pPr>
        <w:spacing w:line="360" w:lineRule="auto"/>
        <w:rPr>
          <w:rFonts w:ascii="仿宋" w:eastAsia="仿宋"/>
          <w:sz w:val="32"/>
          <w:szCs w:val="32"/>
        </w:rPr>
      </w:pPr>
    </w:p>
    <w:p>
      <w:pPr>
        <w:widowControl/>
        <w:jc w:val="left"/>
        <w:rPr>
          <w:rFonts w:ascii="仿宋" w:eastAsia="仿宋"/>
          <w:b/>
          <w:bCs/>
          <w:sz w:val="44"/>
          <w:szCs w:val="44"/>
        </w:rPr>
      </w:pPr>
      <w:r>
        <w:rPr>
          <w:rFonts w:ascii="仿宋" w:eastAsia="仿宋"/>
          <w:b/>
          <w:bCs/>
          <w:sz w:val="44"/>
          <w:szCs w:val="44"/>
        </w:rPr>
        <w:br w:type="page"/>
      </w:r>
    </w:p>
    <w:p>
      <w:bookmarkStart w:id="0" w:name="_GoBack"/>
      <w:bookmarkEnd w:id="0"/>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Calibri">
    <w:panose1 w:val="020F0502020204030204"/>
    <w:charset w:val="00"/>
    <w:family w:val="auto"/>
    <w:pitch w:val="variable"/>
    <w:sig w:usb0="E4002EFF" w:usb1="C000247B" w:usb2="00000009" w:usb3="00000000" w:csb0="200001FF" w:csb1="00000000"/>
  </w:font>
  <w:font w:name="Arial">
    <w:panose1 w:val="020B0604020202020204"/>
    <w:charset w:val="00"/>
    <w:family w:val="auto"/>
    <w:pitch w:val="variable"/>
    <w:sig w:usb0="00007A87" w:usb1="80000000" w:usb2="00000008" w:usb3="00000000" w:csb0="400001FF" w:csb1="FFFF0000"/>
  </w:font>
  <w:font w:name="黑体">
    <w:panose1 w:val="02010600030101010101"/>
    <w:charset w:val="86"/>
    <w:family w:val="auto"/>
    <w:pitch w:val="variable"/>
    <w:sig w:usb0="00000001" w:usb1="080E0000" w:usb2="00000000" w:usb3="00000000" w:csb0="00040000"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pPr>
      <w:keepNext/>
      <w:keepLines/>
      <w:spacing w:before="340" w:after="330" w:line="578" w:lineRule="auto"/>
      <w:outlineLvl w:val="0"/>
    </w:pPr>
    <w:rPr>
      <w:b/>
      <w:kern w:val="44"/>
      <w:sz w:val="44"/>
    </w:rPr>
  </w:style>
  <w:style w:type="paragraph" w:styleId="2">
    <w:name w:val="heading 2"/>
    <w:qFormat/>
    <w:basedOn w:val="0"/>
    <w:next w:val="0"/>
    <w:pPr>
      <w:keepNext/>
      <w:keepLines/>
      <w:spacing w:before="260" w:after="260" w:line="415" w:lineRule="auto"/>
      <w:outlineLvl w:val="1"/>
    </w:pPr>
    <w:rPr>
      <w:rFonts w:ascii="Arial" w:eastAsia="黑体" w:hAnsi="Arial"/>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Yozo_Office27021597764231180</Application>
  <Pages>2</Pages>
  <Words>0</Words>
  <Characters>257</Characters>
  <Lines>0</Lines>
  <Paragraphs>6</Paragraphs>
  <CharactersWithSpaces>343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Administrator</cp:lastModifiedBy>
  <cp:revision>1</cp:revision>
  <dcterms:created xsi:type="dcterms:W3CDTF">2025-11-14T05:54:45Z</dcterms:created>
  <dcterms:modified xsi:type="dcterms:W3CDTF">2025-11-14T05:55:53Z</dcterms:modified>
</cp:coreProperties>
</file>